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Pr="002A5EB3" w:rsidRDefault="002A5EB3" w:rsidP="00244981">
      <w:pPr>
        <w:pStyle w:val="berschrift1"/>
        <w:spacing w:before="0" w:after="0" w:line="276" w:lineRule="auto"/>
        <w:jc w:val="left"/>
      </w:pPr>
      <w:r>
        <w:t>Укладка бетонной смеси с помощью укладчиков для плоских покрытий стала еще более универсальной</w:t>
      </w:r>
    </w:p>
    <w:p w:rsidR="002E765F" w:rsidRPr="002A5EB3" w:rsidRDefault="002E765F" w:rsidP="002E765F">
      <w:pPr>
        <w:pStyle w:val="Text"/>
      </w:pPr>
    </w:p>
    <w:p w:rsidR="002E765F" w:rsidRPr="005B317E" w:rsidRDefault="008D6C91" w:rsidP="00E85B2C">
      <w:pPr>
        <w:pStyle w:val="Text"/>
        <w:spacing w:line="276" w:lineRule="auto"/>
        <w:rPr>
          <w:b/>
          <w:iCs/>
          <w:color w:val="FF0000"/>
        </w:rPr>
      </w:pPr>
      <w:r>
        <w:rPr>
          <w:rStyle w:val="Hervorhebung"/>
        </w:rPr>
        <w:t>Две новые модели бетоноукладчиков со скользящими формами длиной 12 метров компания Wirtgen оснастила современными технологиями уже завоевавших рынок машин SP 60 и SP 90. Так, например, SP 124i / SP 124 оснащен четырьмя управляемыми, поворотными гусеничными тележками. SP 124 Li / SP 124 L, напротив, характеризуется жестком соединением гусеничных тележек со стандартным рулевым механизмом коробки передач. Начало продаж новой серии SP 120 назначено на открытие выставки Bauma 2019.</w:t>
      </w:r>
    </w:p>
    <w:p w:rsidR="00244981" w:rsidRPr="005B317E" w:rsidRDefault="00244981" w:rsidP="00244981">
      <w:pPr>
        <w:pStyle w:val="Text"/>
        <w:spacing w:line="276" w:lineRule="auto"/>
        <w:rPr>
          <w:noProof/>
          <w:color w:val="FF0000"/>
          <w:lang w:eastAsia="de-DE"/>
        </w:rPr>
      </w:pPr>
    </w:p>
    <w:p w:rsidR="009C504B" w:rsidRPr="009C504B" w:rsidRDefault="00AB4606" w:rsidP="009E7AB8">
      <w:pPr>
        <w:pStyle w:val="Text"/>
        <w:spacing w:line="276" w:lineRule="auto"/>
        <w:rPr>
          <w:b/>
          <w:noProof/>
        </w:rPr>
      </w:pPr>
      <w:r>
        <w:rPr>
          <w:b/>
        </w:rPr>
        <w:t>Разнообразные возможности применения</w:t>
      </w:r>
    </w:p>
    <w:p w:rsidR="00667D92" w:rsidRPr="002D3A6C" w:rsidRDefault="00476BEC" w:rsidP="009E7AB8">
      <w:pPr>
        <w:pStyle w:val="Text"/>
        <w:spacing w:line="276" w:lineRule="auto"/>
        <w:rPr>
          <w:noProof/>
        </w:rPr>
      </w:pPr>
      <w:r>
        <w:t xml:space="preserve">Бетоноукладчики со скользящими формами для плоских покрытий (Inset) станут идеальным выбором для экономически эффективного производства бетонных плит большой площади, например, на подвергающихся высоким нагрузкам автомагистралях или на территории авиационно-транспортных предприятий. Для данного метода укладки бетонной смеси компания Wirtgen предлагает 14 моделей в разных классах производительности. Благодаря модульной конструкции, укладчики можно индивидуально конфигурировать, что позволяет реализовывать практически все специфические для клиента требования. Два новых </w:t>
      </w:r>
      <w:r>
        <w:rPr>
          <w:rStyle w:val="Hervorhebung"/>
          <w:b w:val="0"/>
        </w:rPr>
        <w:t>укладчика длиной 12 м</w:t>
      </w:r>
      <w:r>
        <w:t xml:space="preserve"> служат переходом звеном к линейке больших асфальтоукладчиков Wirtgen со скользящими формами, обеспечивающих укладку бетона при рабочей ширине макс. 16 м.</w:t>
      </w:r>
    </w:p>
    <w:p w:rsidR="00C53178" w:rsidRDefault="00C53178" w:rsidP="009E7AB8">
      <w:pPr>
        <w:pStyle w:val="Text"/>
        <w:spacing w:line="276" w:lineRule="auto"/>
        <w:rPr>
          <w:noProof/>
          <w:lang w:eastAsia="de-DE"/>
        </w:rPr>
      </w:pPr>
    </w:p>
    <w:p w:rsidR="00C53178" w:rsidRPr="005B317E" w:rsidRDefault="005B317E" w:rsidP="00C53178">
      <w:pPr>
        <w:pStyle w:val="Text"/>
        <w:spacing w:line="276" w:lineRule="auto"/>
        <w:rPr>
          <w:noProof/>
          <w:color w:val="FF0000"/>
        </w:rPr>
      </w:pPr>
      <w:r>
        <w:t xml:space="preserve">Благодаря двигателю Cummins мощностью 321 кВт / 436 л.с. при норме токсичности выхлопных газов EU Stage 5/US Tier 4f (или 272 кВт / 370 л.с. EU Stage 3a/US Tier 3), новые асфальтоукладчики Wirtgen обладают достаточной мощностью для укладки бетонной проезжей части шириной от 4,50 до 12 м и толщиной до 450 мм. </w:t>
      </w:r>
    </w:p>
    <w:p w:rsidR="00C53178" w:rsidRDefault="00C53178" w:rsidP="009E7AB8">
      <w:pPr>
        <w:pStyle w:val="Text"/>
        <w:spacing w:line="276" w:lineRule="auto"/>
        <w:rPr>
          <w:noProof/>
          <w:lang w:eastAsia="de-DE"/>
        </w:rPr>
      </w:pPr>
    </w:p>
    <w:p w:rsidR="00667D92" w:rsidRPr="00667D92" w:rsidRDefault="00667D92" w:rsidP="00117894">
      <w:pPr>
        <w:pStyle w:val="Text"/>
        <w:spacing w:line="276" w:lineRule="auto"/>
        <w:rPr>
          <w:b/>
          <w:noProof/>
        </w:rPr>
      </w:pPr>
      <w:r>
        <w:rPr>
          <w:b/>
        </w:rPr>
        <w:t xml:space="preserve">SP 124i/SP 124: Управляемые поворотные гусеничные тележки </w:t>
      </w:r>
    </w:p>
    <w:p w:rsidR="00925875" w:rsidRDefault="00466461" w:rsidP="00BD2BE0">
      <w:pPr>
        <w:pStyle w:val="Text"/>
        <w:spacing w:line="276" w:lineRule="auto"/>
      </w:pPr>
      <w:r>
        <w:t xml:space="preserve">Разработав SP 124i / SP 124, компания Wirtgen создала асфальтоукладчик со скользящими формами с рабочей шириной до 12 м и четырьмя управляемыми поворотными гусеничными тележками, который также доступен с новым рулевым механизмом коробки передач и углом поворота до 260 градусов. Дополнительная маневренность асфальтоукладчика позволяет пользователю крайне гибко и экономично адаптировать эксплуатацию машины к соответствующим условиям площадки. Теперь укладка возможна непосредственно рядом с близко расположенными зданиями. Кроме того, четыре тележки можно переключить в режим вращения всего лишь нажатием кнопки. </w:t>
      </w:r>
    </w:p>
    <w:p w:rsidR="00466461" w:rsidRDefault="00466461" w:rsidP="00BD2BE0">
      <w:pPr>
        <w:pStyle w:val="Text"/>
        <w:spacing w:line="276" w:lineRule="auto"/>
        <w:rPr>
          <w:noProof/>
        </w:rPr>
      </w:pPr>
      <w:r>
        <w:lastRenderedPageBreak/>
        <w:t>Таким образом, SP 124i / SP 124 может повернуться практически на месте, и, не тратя много времени на смену направления, начать укладывать следующую полосу в противоположном направлении. Для транспортировки поворотные колонны возвращаются в исходное положение.</w:t>
      </w:r>
    </w:p>
    <w:p w:rsidR="00925875" w:rsidRDefault="00925875" w:rsidP="0051494D">
      <w:pPr>
        <w:pStyle w:val="Text"/>
        <w:spacing w:line="276" w:lineRule="auto"/>
        <w:rPr>
          <w:b/>
          <w:lang w:val="de-DE"/>
        </w:rPr>
      </w:pPr>
    </w:p>
    <w:p w:rsidR="00C53178" w:rsidRPr="00C53178" w:rsidRDefault="00C53178" w:rsidP="0051494D">
      <w:pPr>
        <w:pStyle w:val="Text"/>
        <w:spacing w:line="276" w:lineRule="auto"/>
        <w:rPr>
          <w:b/>
          <w:noProof/>
        </w:rPr>
      </w:pPr>
      <w:r>
        <w:rPr>
          <w:b/>
        </w:rPr>
        <w:t xml:space="preserve">SP 124 Li/SP 124 L: Неподвижное соединение с серийным рулевым механизмом коробки </w:t>
      </w:r>
      <w:r w:rsidR="0004637F">
        <w:rPr>
          <w:b/>
        </w:rPr>
        <w:t>передач</w:t>
      </w:r>
    </w:p>
    <w:p w:rsidR="004A2BD0" w:rsidRPr="00C529C1" w:rsidRDefault="00E53859" w:rsidP="004A2BD0">
      <w:pPr>
        <w:pStyle w:val="Text"/>
        <w:spacing w:line="276" w:lineRule="auto"/>
        <w:rPr>
          <w:noProof/>
        </w:rPr>
      </w:pPr>
      <w:r>
        <w:t>Как и предшествующая модель SP 1200, укладчик SP 124 Li / SP 124 L также имеет жесткое соединение с гусеничными тележками. Новшество заключается в увеличении угла поворота, который достигается за счет стандартного рулевого управления всех четырех тележек и обеспечивает большую гибкость, чем у предшественника. Для транспортировки гусеничные тележки втягиваются под углом 90 градусов. Благодаря компактному размеру SP 124 Li / SP 124 L, транспортные габариты остаются относительно небольшими с учетом класса производительности.</w:t>
      </w:r>
    </w:p>
    <w:p w:rsidR="005E6B59" w:rsidRPr="0014683F" w:rsidRDefault="005E6B59" w:rsidP="00BA1547">
      <w:pPr>
        <w:pStyle w:val="Text"/>
        <w:spacing w:line="276" w:lineRule="auto"/>
      </w:pPr>
    </w:p>
    <w:p w:rsidR="008E3D2E" w:rsidRDefault="008E3D2E" w:rsidP="00EE6B37">
      <w:pPr>
        <w:pStyle w:val="Text"/>
        <w:spacing w:line="276" w:lineRule="auto"/>
        <w:rPr>
          <w:b/>
        </w:rPr>
      </w:pPr>
      <w:r>
        <w:rPr>
          <w:b/>
        </w:rPr>
        <w:t xml:space="preserve">Экономичная и точная укладка </w:t>
      </w:r>
    </w:p>
    <w:p w:rsidR="00110D8E" w:rsidRDefault="002D4273" w:rsidP="00E61252">
      <w:pPr>
        <w:pStyle w:val="Text"/>
        <w:spacing w:line="276" w:lineRule="auto"/>
      </w:pPr>
      <w:r>
        <w:t>Оба укладчика, как SP 124i / SP 124, так и SP 124 Li / SP 124 L отличаются благодаря применению инновационных технологий точностью укладки, интуитивно понятным управлением и простотой использования. Многочисленные опции, например, устройство для забивки дюбелей с функцией самозагрузки, забивщики центральных и боковых анкеров, или системам желобов, адаптированные к различным требованиям плоских покрытий (Inset) во всем мире, позволяют настроить машину для любого применения.</w:t>
      </w:r>
    </w:p>
    <w:p w:rsidR="00110D8E" w:rsidRDefault="00110D8E" w:rsidP="00E61252">
      <w:pPr>
        <w:pStyle w:val="Text"/>
        <w:spacing w:line="276" w:lineRule="auto"/>
      </w:pPr>
    </w:p>
    <w:p w:rsidR="002E765F" w:rsidRPr="00A1640F" w:rsidRDefault="006C55F8" w:rsidP="00E61252">
      <w:pPr>
        <w:pStyle w:val="Text"/>
        <w:spacing w:line="276" w:lineRule="auto"/>
        <w:rPr>
          <w:color w:val="92D050"/>
        </w:rPr>
      </w:pPr>
      <w:r>
        <w:t>В дополнение к интеграции современных технологий, при разработке новой серии SP 120 компания Wirtgen уделила много внимания удобству эксплуатации и синергетическим эффектам с сериями SP 60 и SP 90. Например, ориентированная на потребности система управления двигателем в эко-режиме снижает расход топлива и уменьшает уровень шума за счет адаптации производительности к условиям работы. Проверенный на практике 3D-интерфейс обеспечивает надежную совместимость с передовыми 3D-системами управления, повышая ориентированность на будущее. Кроме того, эффективная телематическая система WITOS FleetView контролирует управление автопарком, положение и состояние, а также процессы технического обслуживания и диагностики.</w:t>
      </w:r>
      <w:r>
        <w:rPr>
          <w:color w:val="92D050"/>
        </w:rPr>
        <w:t xml:space="preserve"> </w:t>
      </w:r>
    </w:p>
    <w:p w:rsidR="00A3739C" w:rsidRDefault="00654AA6" w:rsidP="00654AA6">
      <w:pPr>
        <w:pStyle w:val="Text"/>
        <w:tabs>
          <w:tab w:val="left" w:pos="2785"/>
        </w:tabs>
      </w:pPr>
      <w:r>
        <w:tab/>
      </w:r>
    </w:p>
    <w:p w:rsidR="00925875" w:rsidRDefault="00925875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caps/>
          <w:szCs w:val="22"/>
        </w:rPr>
        <w:br w:type="page"/>
      </w: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01"/>
        <w:gridCol w:w="4907"/>
      </w:tblGrid>
      <w:tr w:rsidR="00925875" w:rsidTr="009258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88" w:type="dxa"/>
            <w:tcBorders>
              <w:right w:val="single" w:sz="4" w:space="0" w:color="auto"/>
            </w:tcBorders>
          </w:tcPr>
          <w:p w:rsidR="00925875" w:rsidRPr="00D166AC" w:rsidRDefault="00925875" w:rsidP="00AB1AD8">
            <w:bookmarkStart w:id="0" w:name="_GoBack"/>
            <w:r>
              <w:rPr>
                <w:noProof/>
                <w:lang w:val="de-DE" w:eastAsia="de-DE"/>
              </w:rPr>
              <w:drawing>
                <wp:inline distT="0" distB="0" distL="0" distR="0" wp14:anchorId="7FF95BB7" wp14:editId="1C40849A">
                  <wp:extent cx="2379227" cy="1754817"/>
                  <wp:effectExtent l="0" t="0" r="254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227" cy="1754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94" w:type="dxa"/>
          </w:tcPr>
          <w:p w:rsidR="00925875" w:rsidRDefault="00925875" w:rsidP="00AB1AD8">
            <w:pPr>
              <w:pStyle w:val="berschrift3"/>
              <w:outlineLvl w:val="2"/>
            </w:pPr>
            <w:r w:rsidRPr="002E4F98">
              <w:t>W_graphic_SP124i_00001_HI</w:t>
            </w:r>
          </w:p>
          <w:p w:rsidR="00925875" w:rsidRPr="005B3697" w:rsidRDefault="00925875" w:rsidP="00AB1AD8">
            <w:pPr>
              <w:pStyle w:val="Text"/>
              <w:rPr>
                <w:sz w:val="20"/>
              </w:rPr>
            </w:pPr>
            <w:r>
              <w:rPr>
                <w:sz w:val="20"/>
              </w:rPr>
              <w:t>Прочная конструкция бетоноукладчиков со скользящими формами SP 124i / SP 124 и SP 124 Li / SP 124 L от компании Wirtgen позволяет выполнить непрерывную, высокопроизводительную укладку бетонной смеси и обеспечивает точные результаты работы даже в сложных условиях.</w:t>
            </w:r>
          </w:p>
        </w:tc>
      </w:tr>
    </w:tbl>
    <w:p w:rsidR="001C5BEC" w:rsidRDefault="001C5BEC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  <w:rPr>
          <w:i/>
          <w:lang w:val="de-DE"/>
        </w:rPr>
      </w:pPr>
      <w:r>
        <w:rPr>
          <w:i/>
          <w:u w:val="single"/>
        </w:rPr>
        <w:t>Указание:</w:t>
      </w:r>
      <w:r>
        <w:rPr>
          <w:i/>
        </w:rPr>
        <w:t xml:space="preserve"> Данные фотографии служат в качестве предварительного ознакомления. Для печатных публикаций следует использовать фотографии в разрешении 300 dpi, предоставленные на веб-сайте компании Wirtgen GmbH /Wirtgen Group в разделе материалов для загрузки.</w:t>
      </w:r>
    </w:p>
    <w:p w:rsidR="00925875" w:rsidRDefault="00925875" w:rsidP="00C03396">
      <w:pPr>
        <w:pStyle w:val="Text"/>
        <w:rPr>
          <w:i/>
          <w:lang w:val="de-DE"/>
        </w:rPr>
      </w:pPr>
    </w:p>
    <w:p w:rsidR="00925875" w:rsidRDefault="00925875" w:rsidP="00C03396">
      <w:pPr>
        <w:pStyle w:val="Text"/>
        <w:rPr>
          <w:i/>
          <w:lang w:val="de-DE"/>
        </w:rPr>
      </w:pPr>
    </w:p>
    <w:p w:rsidR="00925875" w:rsidRPr="00925875" w:rsidRDefault="00925875" w:rsidP="00C03396">
      <w:pPr>
        <w:pStyle w:val="Text"/>
        <w:rPr>
          <w:lang w:val="de-DE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3"/>
        <w:gridCol w:w="4741"/>
      </w:tblGrid>
      <w:tr w:rsidR="00925875" w:rsidTr="009258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3" w:type="dxa"/>
            <w:tcBorders>
              <w:right w:val="single" w:sz="48" w:space="0" w:color="FFFFFF" w:themeColor="background1"/>
            </w:tcBorders>
          </w:tcPr>
          <w:p w:rsidR="00925875" w:rsidRPr="004527D9" w:rsidRDefault="00925875" w:rsidP="00AB1AD8">
            <w:pPr>
              <w:pStyle w:val="HeadlineKontakte"/>
            </w:pPr>
            <w:r w:rsidRPr="004527D9">
              <w:t>Более подробную информацию можно получить у</w:t>
            </w:r>
            <w:r w:rsidRPr="004527D9">
              <w:rPr>
                <w:rFonts w:ascii="Verdana" w:hAnsi="Verdana"/>
              </w:rPr>
              <w:t>:</w:t>
            </w:r>
          </w:p>
          <w:p w:rsidR="00925875" w:rsidRPr="00564374" w:rsidRDefault="00925875" w:rsidP="00AB1AD8">
            <w:pPr>
              <w:pStyle w:val="Text"/>
            </w:pPr>
            <w:r w:rsidRPr="008B1AC8">
              <w:rPr>
                <w:lang w:val="en-US"/>
              </w:rPr>
              <w:t>WIRTGEN</w:t>
            </w:r>
            <w:r w:rsidRPr="00564374"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925875" w:rsidRPr="00564374" w:rsidRDefault="00925875" w:rsidP="00AB1AD8">
            <w:pPr>
              <w:pStyle w:val="Text"/>
            </w:pPr>
            <w:r w:rsidRPr="008B1AC8">
              <w:rPr>
                <w:lang w:val="en-US"/>
              </w:rPr>
              <w:t>Corporate</w:t>
            </w:r>
            <w:r w:rsidRPr="00564374"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925875" w:rsidRPr="00564374" w:rsidRDefault="00925875" w:rsidP="00AB1AD8">
            <w:pPr>
              <w:pStyle w:val="Text"/>
            </w:pPr>
            <w:r w:rsidRPr="008B1AC8">
              <w:rPr>
                <w:lang w:val="en-US"/>
              </w:rPr>
              <w:t>Michaela</w:t>
            </w:r>
            <w:r w:rsidRPr="00564374"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925875" w:rsidRPr="00564374" w:rsidRDefault="00925875" w:rsidP="00AB1AD8">
            <w:pPr>
              <w:pStyle w:val="Text"/>
            </w:pPr>
            <w:r>
              <w:t>Reinhard</w:t>
            </w:r>
            <w:r w:rsidRPr="00564374">
              <w:t>-</w:t>
            </w:r>
            <w:r>
              <w:t>Wirtgen</w:t>
            </w:r>
            <w:r w:rsidRPr="00564374">
              <w:t>-</w:t>
            </w:r>
            <w:r>
              <w:t>Stra</w:t>
            </w:r>
            <w:r w:rsidRPr="00564374">
              <w:t>ß</w:t>
            </w:r>
            <w:r>
              <w:t>e</w:t>
            </w:r>
            <w:r w:rsidRPr="00564374">
              <w:t xml:space="preserve"> 2</w:t>
            </w:r>
          </w:p>
          <w:p w:rsidR="00925875" w:rsidRDefault="00925875" w:rsidP="00AB1AD8">
            <w:pPr>
              <w:pStyle w:val="Text"/>
            </w:pPr>
            <w:r>
              <w:t>53578 Windhagen</w:t>
            </w:r>
          </w:p>
          <w:p w:rsidR="00925875" w:rsidRDefault="00925875" w:rsidP="00AB1AD8">
            <w:pPr>
              <w:pStyle w:val="Text"/>
            </w:pPr>
            <w:r>
              <w:t>Deutschland</w:t>
            </w:r>
          </w:p>
          <w:p w:rsidR="00925875" w:rsidRDefault="00925875" w:rsidP="00AB1AD8">
            <w:pPr>
              <w:pStyle w:val="Text"/>
            </w:pPr>
          </w:p>
          <w:p w:rsidR="00925875" w:rsidRDefault="00925875" w:rsidP="00AB1AD8">
            <w:pPr>
              <w:pStyle w:val="Text"/>
            </w:pPr>
            <w:r>
              <w:t>Telefon:   +49 (0) 2645 131 – 4510</w:t>
            </w:r>
          </w:p>
          <w:p w:rsidR="00925875" w:rsidRDefault="00925875" w:rsidP="00AB1AD8">
            <w:pPr>
              <w:pStyle w:val="Text"/>
            </w:pPr>
            <w:r>
              <w:t>Telefax:   +49 (0) 2645 131 – 499</w:t>
            </w:r>
          </w:p>
          <w:p w:rsidR="00925875" w:rsidRDefault="00925875" w:rsidP="00AB1AD8">
            <w:pPr>
              <w:pStyle w:val="Text"/>
            </w:pPr>
            <w:r>
              <w:t>E-mail:     presse@wirtgen.com</w:t>
            </w:r>
          </w:p>
          <w:p w:rsidR="00925875" w:rsidRPr="00D166AC" w:rsidRDefault="00925875" w:rsidP="00AB1AD8">
            <w:pPr>
              <w:pStyle w:val="Text"/>
            </w:pPr>
            <w:r>
              <w:t>www.wirtgen.com</w:t>
            </w:r>
          </w:p>
        </w:tc>
        <w:tc>
          <w:tcPr>
            <w:tcW w:w="4741" w:type="dxa"/>
            <w:tcBorders>
              <w:left w:val="single" w:sz="48" w:space="0" w:color="FFFFFF" w:themeColor="background1"/>
            </w:tcBorders>
          </w:tcPr>
          <w:p w:rsidR="00925875" w:rsidRPr="0034191A" w:rsidRDefault="00925875" w:rsidP="00AB1AD8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D0D" w:rsidRDefault="00C16D0D" w:rsidP="00E55534">
      <w:r>
        <w:separator/>
      </w:r>
    </w:p>
  </w:endnote>
  <w:endnote w:type="continuationSeparator" w:id="0">
    <w:p w:rsidR="00C16D0D" w:rsidRDefault="00C16D0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DF128C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4F39CD6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753883F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D0D" w:rsidRDefault="00C16D0D" w:rsidP="00E55534">
      <w:r>
        <w:separator/>
      </w:r>
    </w:p>
  </w:footnote>
  <w:footnote w:type="continuationSeparator" w:id="0">
    <w:p w:rsidR="00C16D0D" w:rsidRDefault="00C16D0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8C1E212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5B4F4B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500pt;height:1500pt" o:bullet="t">
        <v:imagedata r:id="rId1" o:title="AZ_04a"/>
      </v:shape>
    </w:pict>
  </w:numPicBullet>
  <w:numPicBullet w:numPicBulletId="1">
    <w:pict>
      <v:shape id="_x0000_i108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3E"/>
    <w:rsid w:val="00002BA3"/>
    <w:rsid w:val="00007566"/>
    <w:rsid w:val="0003195C"/>
    <w:rsid w:val="00037024"/>
    <w:rsid w:val="00042106"/>
    <w:rsid w:val="0004637F"/>
    <w:rsid w:val="000475A8"/>
    <w:rsid w:val="0005285B"/>
    <w:rsid w:val="00057735"/>
    <w:rsid w:val="000641D5"/>
    <w:rsid w:val="0006564F"/>
    <w:rsid w:val="00066D09"/>
    <w:rsid w:val="000929C1"/>
    <w:rsid w:val="0009665C"/>
    <w:rsid w:val="000A3678"/>
    <w:rsid w:val="000B2D30"/>
    <w:rsid w:val="000C75FB"/>
    <w:rsid w:val="000D3D7C"/>
    <w:rsid w:val="000E1CE4"/>
    <w:rsid w:val="000E2697"/>
    <w:rsid w:val="00101747"/>
    <w:rsid w:val="00103205"/>
    <w:rsid w:val="00110D8E"/>
    <w:rsid w:val="001136BA"/>
    <w:rsid w:val="00117894"/>
    <w:rsid w:val="0012026F"/>
    <w:rsid w:val="00123039"/>
    <w:rsid w:val="00123CBE"/>
    <w:rsid w:val="00127C60"/>
    <w:rsid w:val="001307F9"/>
    <w:rsid w:val="00132055"/>
    <w:rsid w:val="00144CDE"/>
    <w:rsid w:val="00145A6C"/>
    <w:rsid w:val="0014683F"/>
    <w:rsid w:val="00171F34"/>
    <w:rsid w:val="00177130"/>
    <w:rsid w:val="00186E87"/>
    <w:rsid w:val="00190BE9"/>
    <w:rsid w:val="001A6982"/>
    <w:rsid w:val="001B04A3"/>
    <w:rsid w:val="001B16BB"/>
    <w:rsid w:val="001B419A"/>
    <w:rsid w:val="001C5BEC"/>
    <w:rsid w:val="001E6691"/>
    <w:rsid w:val="001F0661"/>
    <w:rsid w:val="001F2B25"/>
    <w:rsid w:val="002050EB"/>
    <w:rsid w:val="00216F1C"/>
    <w:rsid w:val="00226280"/>
    <w:rsid w:val="00227A7C"/>
    <w:rsid w:val="0024188C"/>
    <w:rsid w:val="00244981"/>
    <w:rsid w:val="002454A6"/>
    <w:rsid w:val="00253A2E"/>
    <w:rsid w:val="00262DF0"/>
    <w:rsid w:val="002844EF"/>
    <w:rsid w:val="00287461"/>
    <w:rsid w:val="0029634D"/>
    <w:rsid w:val="00297C2E"/>
    <w:rsid w:val="002A5EB3"/>
    <w:rsid w:val="002B4401"/>
    <w:rsid w:val="002C076E"/>
    <w:rsid w:val="002C67A0"/>
    <w:rsid w:val="002D1715"/>
    <w:rsid w:val="002D3A6C"/>
    <w:rsid w:val="002D4273"/>
    <w:rsid w:val="002D7890"/>
    <w:rsid w:val="002D7D33"/>
    <w:rsid w:val="002E73C3"/>
    <w:rsid w:val="002E765F"/>
    <w:rsid w:val="002F108B"/>
    <w:rsid w:val="00322F2A"/>
    <w:rsid w:val="00333306"/>
    <w:rsid w:val="0034191A"/>
    <w:rsid w:val="00343CC7"/>
    <w:rsid w:val="00353DDE"/>
    <w:rsid w:val="00376C3A"/>
    <w:rsid w:val="00384A08"/>
    <w:rsid w:val="003900E7"/>
    <w:rsid w:val="003940B7"/>
    <w:rsid w:val="00394AB6"/>
    <w:rsid w:val="0039609F"/>
    <w:rsid w:val="003A376B"/>
    <w:rsid w:val="003A426D"/>
    <w:rsid w:val="003A51E7"/>
    <w:rsid w:val="003A753A"/>
    <w:rsid w:val="003B56B0"/>
    <w:rsid w:val="003B5C20"/>
    <w:rsid w:val="003B7113"/>
    <w:rsid w:val="003D323E"/>
    <w:rsid w:val="003E1891"/>
    <w:rsid w:val="003E1CB6"/>
    <w:rsid w:val="003E36DB"/>
    <w:rsid w:val="003E3CF6"/>
    <w:rsid w:val="003E759F"/>
    <w:rsid w:val="00403373"/>
    <w:rsid w:val="00406C81"/>
    <w:rsid w:val="00412545"/>
    <w:rsid w:val="00430BB0"/>
    <w:rsid w:val="004336CA"/>
    <w:rsid w:val="00446248"/>
    <w:rsid w:val="00450BDC"/>
    <w:rsid w:val="004552BB"/>
    <w:rsid w:val="00461B76"/>
    <w:rsid w:val="00463D7D"/>
    <w:rsid w:val="00466461"/>
    <w:rsid w:val="00467AFB"/>
    <w:rsid w:val="00470CA2"/>
    <w:rsid w:val="00476BEC"/>
    <w:rsid w:val="00476F4D"/>
    <w:rsid w:val="0048562E"/>
    <w:rsid w:val="0049734D"/>
    <w:rsid w:val="004A2BD0"/>
    <w:rsid w:val="004B0EEA"/>
    <w:rsid w:val="004C3344"/>
    <w:rsid w:val="00505675"/>
    <w:rsid w:val="00506409"/>
    <w:rsid w:val="005108CC"/>
    <w:rsid w:val="0051307B"/>
    <w:rsid w:val="0051494D"/>
    <w:rsid w:val="00523ADD"/>
    <w:rsid w:val="00530E32"/>
    <w:rsid w:val="005329B0"/>
    <w:rsid w:val="0056179B"/>
    <w:rsid w:val="00561B08"/>
    <w:rsid w:val="00567F42"/>
    <w:rsid w:val="005711A3"/>
    <w:rsid w:val="0057249F"/>
    <w:rsid w:val="00573B2B"/>
    <w:rsid w:val="00573EDC"/>
    <w:rsid w:val="00593080"/>
    <w:rsid w:val="005A4F04"/>
    <w:rsid w:val="005A5CDC"/>
    <w:rsid w:val="005A7FE7"/>
    <w:rsid w:val="005B317E"/>
    <w:rsid w:val="005B3697"/>
    <w:rsid w:val="005B4377"/>
    <w:rsid w:val="005B43F6"/>
    <w:rsid w:val="005B5793"/>
    <w:rsid w:val="005E5F2A"/>
    <w:rsid w:val="005E6B59"/>
    <w:rsid w:val="005E79C1"/>
    <w:rsid w:val="005F3589"/>
    <w:rsid w:val="00601167"/>
    <w:rsid w:val="00610460"/>
    <w:rsid w:val="006330A2"/>
    <w:rsid w:val="00642EB6"/>
    <w:rsid w:val="00642F19"/>
    <w:rsid w:val="00645C71"/>
    <w:rsid w:val="00654AA6"/>
    <w:rsid w:val="00664803"/>
    <w:rsid w:val="00666159"/>
    <w:rsid w:val="00667616"/>
    <w:rsid w:val="00667D92"/>
    <w:rsid w:val="00671AC0"/>
    <w:rsid w:val="00671D76"/>
    <w:rsid w:val="0069450F"/>
    <w:rsid w:val="00694602"/>
    <w:rsid w:val="0069526E"/>
    <w:rsid w:val="006A0CB4"/>
    <w:rsid w:val="006A1686"/>
    <w:rsid w:val="006B73C9"/>
    <w:rsid w:val="006C55F8"/>
    <w:rsid w:val="006D384D"/>
    <w:rsid w:val="006D6247"/>
    <w:rsid w:val="006E0185"/>
    <w:rsid w:val="006E53EA"/>
    <w:rsid w:val="006F0AEE"/>
    <w:rsid w:val="006F4D5A"/>
    <w:rsid w:val="006F7602"/>
    <w:rsid w:val="0071362A"/>
    <w:rsid w:val="00722A17"/>
    <w:rsid w:val="00723614"/>
    <w:rsid w:val="00741AFD"/>
    <w:rsid w:val="0074314B"/>
    <w:rsid w:val="00744331"/>
    <w:rsid w:val="00757B83"/>
    <w:rsid w:val="007658CA"/>
    <w:rsid w:val="00776647"/>
    <w:rsid w:val="00780287"/>
    <w:rsid w:val="00791A69"/>
    <w:rsid w:val="00794830"/>
    <w:rsid w:val="00797CAA"/>
    <w:rsid w:val="007A24A9"/>
    <w:rsid w:val="007A35A8"/>
    <w:rsid w:val="007A7094"/>
    <w:rsid w:val="007B21B5"/>
    <w:rsid w:val="007C2658"/>
    <w:rsid w:val="007D5FA6"/>
    <w:rsid w:val="007E20D0"/>
    <w:rsid w:val="007F05FE"/>
    <w:rsid w:val="007F433E"/>
    <w:rsid w:val="00820315"/>
    <w:rsid w:val="00843B45"/>
    <w:rsid w:val="00847049"/>
    <w:rsid w:val="00863129"/>
    <w:rsid w:val="00877905"/>
    <w:rsid w:val="0089123D"/>
    <w:rsid w:val="00897985"/>
    <w:rsid w:val="008B4013"/>
    <w:rsid w:val="008C2DB2"/>
    <w:rsid w:val="008D416D"/>
    <w:rsid w:val="008D4AE7"/>
    <w:rsid w:val="008D6C91"/>
    <w:rsid w:val="008D770E"/>
    <w:rsid w:val="008E3D1B"/>
    <w:rsid w:val="008E3D2E"/>
    <w:rsid w:val="008E7049"/>
    <w:rsid w:val="008F249E"/>
    <w:rsid w:val="008F40D4"/>
    <w:rsid w:val="008F6C0C"/>
    <w:rsid w:val="009010C9"/>
    <w:rsid w:val="0090337E"/>
    <w:rsid w:val="0090440C"/>
    <w:rsid w:val="00916EEE"/>
    <w:rsid w:val="00917CA1"/>
    <w:rsid w:val="009202F0"/>
    <w:rsid w:val="00925875"/>
    <w:rsid w:val="0095117C"/>
    <w:rsid w:val="00952BC9"/>
    <w:rsid w:val="00956FAD"/>
    <w:rsid w:val="00960B39"/>
    <w:rsid w:val="00961705"/>
    <w:rsid w:val="00962263"/>
    <w:rsid w:val="00972836"/>
    <w:rsid w:val="009740A6"/>
    <w:rsid w:val="00981132"/>
    <w:rsid w:val="00983919"/>
    <w:rsid w:val="00986379"/>
    <w:rsid w:val="00993F20"/>
    <w:rsid w:val="009970E3"/>
    <w:rsid w:val="009A7E90"/>
    <w:rsid w:val="009B4F20"/>
    <w:rsid w:val="009C2378"/>
    <w:rsid w:val="009C504B"/>
    <w:rsid w:val="009D016F"/>
    <w:rsid w:val="009E251D"/>
    <w:rsid w:val="009E7614"/>
    <w:rsid w:val="009E7AB8"/>
    <w:rsid w:val="009F43A7"/>
    <w:rsid w:val="009F5B32"/>
    <w:rsid w:val="009F7363"/>
    <w:rsid w:val="00A004FC"/>
    <w:rsid w:val="00A00549"/>
    <w:rsid w:val="00A0136A"/>
    <w:rsid w:val="00A109E3"/>
    <w:rsid w:val="00A1640F"/>
    <w:rsid w:val="00A171F4"/>
    <w:rsid w:val="00A24EFC"/>
    <w:rsid w:val="00A3739C"/>
    <w:rsid w:val="00A52126"/>
    <w:rsid w:val="00A52E19"/>
    <w:rsid w:val="00A64AB9"/>
    <w:rsid w:val="00A80677"/>
    <w:rsid w:val="00A977CE"/>
    <w:rsid w:val="00AB2CD8"/>
    <w:rsid w:val="00AB4606"/>
    <w:rsid w:val="00AC1E31"/>
    <w:rsid w:val="00AC3900"/>
    <w:rsid w:val="00AD131F"/>
    <w:rsid w:val="00AF3B3A"/>
    <w:rsid w:val="00AF6569"/>
    <w:rsid w:val="00B06265"/>
    <w:rsid w:val="00B30C0E"/>
    <w:rsid w:val="00B338D5"/>
    <w:rsid w:val="00B37C68"/>
    <w:rsid w:val="00B51F2D"/>
    <w:rsid w:val="00B54C9B"/>
    <w:rsid w:val="00B5695F"/>
    <w:rsid w:val="00B87FFB"/>
    <w:rsid w:val="00B90F78"/>
    <w:rsid w:val="00B9213F"/>
    <w:rsid w:val="00BA1547"/>
    <w:rsid w:val="00BA746D"/>
    <w:rsid w:val="00BB63B0"/>
    <w:rsid w:val="00BC5223"/>
    <w:rsid w:val="00BD1058"/>
    <w:rsid w:val="00BD2BE0"/>
    <w:rsid w:val="00BE5713"/>
    <w:rsid w:val="00BE608D"/>
    <w:rsid w:val="00BF09F8"/>
    <w:rsid w:val="00BF4F0B"/>
    <w:rsid w:val="00BF56B2"/>
    <w:rsid w:val="00C03396"/>
    <w:rsid w:val="00C10FDB"/>
    <w:rsid w:val="00C1451A"/>
    <w:rsid w:val="00C16D0D"/>
    <w:rsid w:val="00C430B3"/>
    <w:rsid w:val="00C457C3"/>
    <w:rsid w:val="00C523D9"/>
    <w:rsid w:val="00C529C1"/>
    <w:rsid w:val="00C53178"/>
    <w:rsid w:val="00C57E62"/>
    <w:rsid w:val="00C644CA"/>
    <w:rsid w:val="00C71E11"/>
    <w:rsid w:val="00C73005"/>
    <w:rsid w:val="00C73AC7"/>
    <w:rsid w:val="00C90528"/>
    <w:rsid w:val="00C907FC"/>
    <w:rsid w:val="00C946F2"/>
    <w:rsid w:val="00CA11B2"/>
    <w:rsid w:val="00CB166E"/>
    <w:rsid w:val="00CC27ED"/>
    <w:rsid w:val="00CC36FD"/>
    <w:rsid w:val="00CE101F"/>
    <w:rsid w:val="00CF1AFD"/>
    <w:rsid w:val="00CF24C4"/>
    <w:rsid w:val="00CF36C9"/>
    <w:rsid w:val="00CF51AC"/>
    <w:rsid w:val="00CF5318"/>
    <w:rsid w:val="00D166AC"/>
    <w:rsid w:val="00D24067"/>
    <w:rsid w:val="00D30445"/>
    <w:rsid w:val="00D40316"/>
    <w:rsid w:val="00D43AB1"/>
    <w:rsid w:val="00D45E77"/>
    <w:rsid w:val="00D467D8"/>
    <w:rsid w:val="00D47E06"/>
    <w:rsid w:val="00D67FDA"/>
    <w:rsid w:val="00D91AA2"/>
    <w:rsid w:val="00D950C6"/>
    <w:rsid w:val="00DA13C0"/>
    <w:rsid w:val="00DC3B09"/>
    <w:rsid w:val="00DC465F"/>
    <w:rsid w:val="00DC7703"/>
    <w:rsid w:val="00DD3B20"/>
    <w:rsid w:val="00DF128C"/>
    <w:rsid w:val="00E022D5"/>
    <w:rsid w:val="00E0287D"/>
    <w:rsid w:val="00E14608"/>
    <w:rsid w:val="00E14E2B"/>
    <w:rsid w:val="00E21E67"/>
    <w:rsid w:val="00E27FA7"/>
    <w:rsid w:val="00E30EBF"/>
    <w:rsid w:val="00E36CA5"/>
    <w:rsid w:val="00E3736A"/>
    <w:rsid w:val="00E52D70"/>
    <w:rsid w:val="00E53859"/>
    <w:rsid w:val="00E55534"/>
    <w:rsid w:val="00E565F8"/>
    <w:rsid w:val="00E61252"/>
    <w:rsid w:val="00E709A7"/>
    <w:rsid w:val="00E85B2C"/>
    <w:rsid w:val="00E914D1"/>
    <w:rsid w:val="00EA269B"/>
    <w:rsid w:val="00EA4C50"/>
    <w:rsid w:val="00EC1593"/>
    <w:rsid w:val="00EC7C90"/>
    <w:rsid w:val="00EE0C7E"/>
    <w:rsid w:val="00EE13D7"/>
    <w:rsid w:val="00EE46C0"/>
    <w:rsid w:val="00EE6B37"/>
    <w:rsid w:val="00EF1BFD"/>
    <w:rsid w:val="00F05ED4"/>
    <w:rsid w:val="00F11E3C"/>
    <w:rsid w:val="00F20920"/>
    <w:rsid w:val="00F3484D"/>
    <w:rsid w:val="00F451BB"/>
    <w:rsid w:val="00F56318"/>
    <w:rsid w:val="00F56382"/>
    <w:rsid w:val="00F70DFE"/>
    <w:rsid w:val="00F74A3E"/>
    <w:rsid w:val="00F82525"/>
    <w:rsid w:val="00F97CD0"/>
    <w:rsid w:val="00F97FEA"/>
    <w:rsid w:val="00FC35DF"/>
    <w:rsid w:val="00FE1841"/>
    <w:rsid w:val="00FF2614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6F6944-F5CE-4BAF-B052-CD15F039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1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5FAEB-BA95-4416-8F9D-DE8AC5AE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728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25</cp:revision>
  <cp:lastPrinted>2019-02-22T14:44:00Z</cp:lastPrinted>
  <dcterms:created xsi:type="dcterms:W3CDTF">2019-02-25T13:11:00Z</dcterms:created>
  <dcterms:modified xsi:type="dcterms:W3CDTF">2019-09-11T13:37:00Z</dcterms:modified>
</cp:coreProperties>
</file>